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5FF6B" w14:textId="0ABCDFBD" w:rsidR="008E1C8F" w:rsidRDefault="0030772D" w:rsidP="00834CD8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Tercer informe realizado por Vantaz Group </w:t>
      </w:r>
    </w:p>
    <w:p w14:paraId="0ADFF9C7" w14:textId="1EA37C5A" w:rsidR="0030772D" w:rsidRPr="0030772D" w:rsidRDefault="0030772D" w:rsidP="00834CD8">
      <w:pPr>
        <w:jc w:val="both"/>
        <w:rPr>
          <w:b/>
          <w:bCs/>
          <w:sz w:val="29"/>
          <w:szCs w:val="29"/>
          <w:lang w:val="es-MX"/>
        </w:rPr>
      </w:pPr>
      <w:r w:rsidRPr="0030772D">
        <w:rPr>
          <w:b/>
          <w:bCs/>
          <w:sz w:val="29"/>
          <w:szCs w:val="29"/>
          <w:lang w:val="es-MX"/>
        </w:rPr>
        <w:t>NEGOCIACIONES COLECTIVAS EN LA MINERÍA 2021: MAYORÍA FUERON REGLADAS Y AUMENTAN BONOS DE TÉRMINO DE CONFLICTO Y HUELGAS</w:t>
      </w:r>
    </w:p>
    <w:p w14:paraId="4CACC999" w14:textId="66A6793D" w:rsidR="0030772D" w:rsidRPr="0030772D" w:rsidRDefault="00FD0453" w:rsidP="00834CD8">
      <w:pPr>
        <w:jc w:val="both"/>
        <w:rPr>
          <w:i/>
          <w:iCs/>
          <w:sz w:val="24"/>
          <w:szCs w:val="24"/>
          <w:lang w:val="es-MX"/>
        </w:rPr>
      </w:pPr>
      <w:r>
        <w:rPr>
          <w:i/>
          <w:iCs/>
          <w:sz w:val="24"/>
          <w:szCs w:val="24"/>
          <w:lang w:val="es-MX"/>
        </w:rPr>
        <w:t>El ciclo favorable que registró el precio del cobre durante el año pasado incidió en las cifras,</w:t>
      </w:r>
      <w:r w:rsidR="00BB4DFD">
        <w:rPr>
          <w:i/>
          <w:iCs/>
          <w:sz w:val="24"/>
          <w:szCs w:val="24"/>
          <w:lang w:val="es-MX"/>
        </w:rPr>
        <w:t xml:space="preserve"> además de </w:t>
      </w:r>
      <w:r>
        <w:rPr>
          <w:i/>
          <w:iCs/>
          <w:sz w:val="24"/>
          <w:szCs w:val="24"/>
          <w:lang w:val="es-MX"/>
        </w:rPr>
        <w:t xml:space="preserve">factores económicos, políticos, sociales y sanitarios.   </w:t>
      </w:r>
    </w:p>
    <w:p w14:paraId="7A36AD4E" w14:textId="267E546B" w:rsidR="0030772D" w:rsidRDefault="00FD0453" w:rsidP="00834CD8">
      <w:pPr>
        <w:jc w:val="both"/>
        <w:rPr>
          <w:sz w:val="24"/>
          <w:szCs w:val="24"/>
          <w:lang w:val="es-MX"/>
        </w:rPr>
      </w:pPr>
      <w:r w:rsidRPr="00BB4DFD">
        <w:rPr>
          <w:i/>
          <w:iCs/>
          <w:sz w:val="24"/>
          <w:szCs w:val="24"/>
          <w:u w:val="single"/>
          <w:lang w:val="es-MX"/>
        </w:rPr>
        <w:t>18 de enero 2022.-</w:t>
      </w:r>
      <w:r w:rsidRPr="00FD0453">
        <w:rPr>
          <w:i/>
          <w:iCs/>
          <w:sz w:val="24"/>
          <w:szCs w:val="24"/>
          <w:lang w:val="es-MX"/>
        </w:rPr>
        <w:t xml:space="preserve"> </w:t>
      </w:r>
      <w:r w:rsidR="00834CD8">
        <w:rPr>
          <w:sz w:val="24"/>
          <w:szCs w:val="24"/>
          <w:lang w:val="es-MX"/>
        </w:rPr>
        <w:t>Vantaz Group publicó el tercer informe sobre negociaciones colectivas en la minería correspondiente al año 2021, per</w:t>
      </w:r>
      <w:r w:rsidR="00BB4DFD">
        <w:rPr>
          <w:sz w:val="24"/>
          <w:szCs w:val="24"/>
          <w:lang w:val="es-MX"/>
        </w:rPr>
        <w:t>í</w:t>
      </w:r>
      <w:r w:rsidR="00834CD8">
        <w:rPr>
          <w:sz w:val="24"/>
          <w:szCs w:val="24"/>
          <w:lang w:val="es-MX"/>
        </w:rPr>
        <w:t xml:space="preserve">odo en que se registró un alza </w:t>
      </w:r>
      <w:r w:rsidR="00A25494">
        <w:rPr>
          <w:sz w:val="24"/>
          <w:szCs w:val="24"/>
          <w:lang w:val="es-MX"/>
        </w:rPr>
        <w:t>de</w:t>
      </w:r>
      <w:r w:rsidR="00834CD8">
        <w:rPr>
          <w:sz w:val="24"/>
          <w:szCs w:val="24"/>
          <w:lang w:val="es-MX"/>
        </w:rPr>
        <w:t>l porcentaje de procesos reglados (versus los anticipados), además de un incremento en los bonos de t</w:t>
      </w:r>
      <w:r w:rsidR="005A3483">
        <w:rPr>
          <w:sz w:val="24"/>
          <w:szCs w:val="24"/>
          <w:lang w:val="es-MX"/>
        </w:rPr>
        <w:t>é</w:t>
      </w:r>
      <w:r w:rsidR="00834CD8">
        <w:rPr>
          <w:sz w:val="24"/>
          <w:szCs w:val="24"/>
          <w:lang w:val="es-MX"/>
        </w:rPr>
        <w:t xml:space="preserve">rmino de conflicto y </w:t>
      </w:r>
      <w:r w:rsidR="00A25494">
        <w:rPr>
          <w:sz w:val="24"/>
          <w:szCs w:val="24"/>
          <w:lang w:val="es-MX"/>
        </w:rPr>
        <w:t xml:space="preserve">en el </w:t>
      </w:r>
      <w:r w:rsidR="00834CD8">
        <w:rPr>
          <w:sz w:val="24"/>
          <w:szCs w:val="24"/>
          <w:lang w:val="es-MX"/>
        </w:rPr>
        <w:t xml:space="preserve">número de huelgas. </w:t>
      </w:r>
    </w:p>
    <w:p w14:paraId="7B73003F" w14:textId="4452144F" w:rsidR="00834CD8" w:rsidRDefault="00834CD8" w:rsidP="009F5B0E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Según el reporte, durante el año pasado </w:t>
      </w:r>
      <w:r w:rsidR="00C20F81">
        <w:rPr>
          <w:sz w:val="24"/>
          <w:szCs w:val="24"/>
          <w:lang w:val="es-MX"/>
        </w:rPr>
        <w:t>se cerraron 33 negociaciones</w:t>
      </w:r>
      <w:r w:rsidR="009F5B0E">
        <w:rPr>
          <w:sz w:val="24"/>
          <w:szCs w:val="24"/>
          <w:lang w:val="es-MX"/>
        </w:rPr>
        <w:t>, de las cuales 19 fueron regladas y 14 anticipadas, revirtiendo lo ocurrido en el 2020. “</w:t>
      </w:r>
      <w:r w:rsidR="009F5B0E" w:rsidRPr="009F5B0E">
        <w:rPr>
          <w:sz w:val="24"/>
          <w:szCs w:val="24"/>
          <w:lang w:val="es-MX"/>
        </w:rPr>
        <w:t>Creemos que es</w:t>
      </w:r>
      <w:r w:rsidR="009F5B0E">
        <w:rPr>
          <w:sz w:val="24"/>
          <w:szCs w:val="24"/>
          <w:lang w:val="es-MX"/>
        </w:rPr>
        <w:t>t</w:t>
      </w:r>
      <w:r w:rsidR="009F5B0E" w:rsidRPr="009F5B0E">
        <w:rPr>
          <w:sz w:val="24"/>
          <w:szCs w:val="24"/>
          <w:lang w:val="es-MX"/>
        </w:rPr>
        <w:t xml:space="preserve">a es más bien la tendencia histórica, y que lo del 2020 fue </w:t>
      </w:r>
      <w:r w:rsidR="00842387">
        <w:rPr>
          <w:sz w:val="24"/>
          <w:szCs w:val="24"/>
          <w:lang w:val="es-MX"/>
        </w:rPr>
        <w:t>una</w:t>
      </w:r>
      <w:r w:rsidR="009F5B0E" w:rsidRPr="009F5B0E">
        <w:rPr>
          <w:sz w:val="24"/>
          <w:szCs w:val="24"/>
          <w:lang w:val="es-MX"/>
        </w:rPr>
        <w:t xml:space="preserve"> excepción, con la mayor parte de las negociaciones anticipadas por el efecto de la pandemia. </w:t>
      </w:r>
      <w:r w:rsidR="009F5B0E">
        <w:rPr>
          <w:sz w:val="24"/>
          <w:szCs w:val="24"/>
          <w:lang w:val="es-MX"/>
        </w:rPr>
        <w:t>I</w:t>
      </w:r>
      <w:r w:rsidR="009F5B0E" w:rsidRPr="009F5B0E">
        <w:rPr>
          <w:sz w:val="24"/>
          <w:szCs w:val="24"/>
          <w:lang w:val="es-MX"/>
        </w:rPr>
        <w:t>ncide también en el año 2021 el complejo escenario político (la cantidad de elecciones que se llevaron a cabo), económico, social y sanitario, y también el elevado precio del cobre, que hemos visto que sí tiene una incidencia en materia de negociaciones</w:t>
      </w:r>
      <w:r w:rsidR="009F5B0E">
        <w:rPr>
          <w:sz w:val="24"/>
          <w:szCs w:val="24"/>
          <w:lang w:val="es-MX"/>
        </w:rPr>
        <w:t>”, comenta la Directora de Estudios de Vantaz Group, Daniela Desormeaux</w:t>
      </w:r>
      <w:r w:rsidR="009F5B0E" w:rsidRPr="009F5B0E">
        <w:rPr>
          <w:sz w:val="24"/>
          <w:szCs w:val="24"/>
          <w:lang w:val="es-MX"/>
        </w:rPr>
        <w:t>.</w:t>
      </w:r>
    </w:p>
    <w:p w14:paraId="74C0803B" w14:textId="20A7B44A" w:rsidR="009F5B0E" w:rsidRPr="009F5B0E" w:rsidRDefault="009F5B0E" w:rsidP="009F5B0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3954032" wp14:editId="444EE613">
            <wp:extent cx="3749040" cy="3027143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30271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019518" w14:textId="17D7B523" w:rsidR="00834CD8" w:rsidRPr="002F5FEB" w:rsidRDefault="002F5FEB" w:rsidP="00834CD8">
      <w:pPr>
        <w:jc w:val="both"/>
        <w:rPr>
          <w:sz w:val="24"/>
          <w:szCs w:val="24"/>
        </w:rPr>
      </w:pPr>
      <w:r>
        <w:rPr>
          <w:sz w:val="24"/>
          <w:szCs w:val="24"/>
          <w:lang w:val="es-MX"/>
        </w:rPr>
        <w:t>Respecto a los bonos de término de conflicto, el monto promedio en 2021 subió un 18% respecto del año anterior, registrándose los mayores valores en las negociaciones regladas. “</w:t>
      </w:r>
      <w:r w:rsidRPr="002F5FEB">
        <w:rPr>
          <w:sz w:val="24"/>
          <w:szCs w:val="24"/>
          <w:lang w:val="es-MX"/>
        </w:rPr>
        <w:t xml:space="preserve">Importante </w:t>
      </w:r>
      <w:r w:rsidR="005A3483">
        <w:rPr>
          <w:sz w:val="24"/>
          <w:szCs w:val="24"/>
          <w:lang w:val="es-MX"/>
        </w:rPr>
        <w:t>destacar</w:t>
      </w:r>
      <w:r w:rsidRPr="002F5FEB">
        <w:rPr>
          <w:sz w:val="24"/>
          <w:szCs w:val="24"/>
          <w:lang w:val="es-MX"/>
        </w:rPr>
        <w:t xml:space="preserve"> que no todos los beneficios son en dinero. También se dan de otro </w:t>
      </w:r>
      <w:r w:rsidRPr="002F5FEB">
        <w:rPr>
          <w:sz w:val="24"/>
          <w:szCs w:val="24"/>
          <w:lang w:val="es-MX"/>
        </w:rPr>
        <w:lastRenderedPageBreak/>
        <w:t>tipo, que en la mayoría de los casos se desconocen a nivel público, y que son muy valorados por los trabajadores</w:t>
      </w:r>
      <w:r>
        <w:rPr>
          <w:sz w:val="24"/>
          <w:szCs w:val="24"/>
          <w:lang w:val="es-MX"/>
        </w:rPr>
        <w:t xml:space="preserve">”, explica </w:t>
      </w:r>
      <w:r w:rsidR="00842387">
        <w:rPr>
          <w:sz w:val="24"/>
          <w:szCs w:val="24"/>
          <w:lang w:val="es-MX"/>
        </w:rPr>
        <w:t>la directora de estudios de Vantaz Group</w:t>
      </w:r>
      <w:r w:rsidRPr="002F5FEB">
        <w:rPr>
          <w:sz w:val="24"/>
          <w:szCs w:val="24"/>
          <w:lang w:val="es-MX"/>
        </w:rPr>
        <w:t>.</w:t>
      </w:r>
    </w:p>
    <w:p w14:paraId="698E1F30" w14:textId="65CF686F" w:rsidR="002F5FEB" w:rsidRDefault="002F5FEB" w:rsidP="002F5FEB">
      <w:pPr>
        <w:jc w:val="center"/>
        <w:rPr>
          <w:sz w:val="24"/>
          <w:szCs w:val="24"/>
          <w:lang w:val="es-MX"/>
        </w:rPr>
      </w:pPr>
      <w:r>
        <w:rPr>
          <w:noProof/>
          <w:sz w:val="24"/>
          <w:szCs w:val="24"/>
          <w:lang w:val="es-MX"/>
        </w:rPr>
        <w:drawing>
          <wp:inline distT="0" distB="0" distL="0" distR="0" wp14:anchorId="62F0C520" wp14:editId="0FC7247C">
            <wp:extent cx="3489960" cy="2938419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4879" cy="294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79161A" w14:textId="57795E51" w:rsidR="002F5FEB" w:rsidRDefault="00353F30" w:rsidP="002F5FEB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Finalmente, al analizar </w:t>
      </w:r>
      <w:r w:rsidR="00842387">
        <w:rPr>
          <w:sz w:val="24"/>
          <w:szCs w:val="24"/>
          <w:lang w:val="es-MX"/>
        </w:rPr>
        <w:t>las</w:t>
      </w:r>
      <w:r>
        <w:rPr>
          <w:sz w:val="24"/>
          <w:szCs w:val="24"/>
          <w:lang w:val="es-MX"/>
        </w:rPr>
        <w:t xml:space="preserve"> huelgas asociadas a las negociaciones colectivas de 2021, el reporte consigna que se registraron cinco durante el período, el mayor número desde que Vantaz</w:t>
      </w:r>
      <w:r w:rsidR="00842387">
        <w:rPr>
          <w:sz w:val="24"/>
          <w:szCs w:val="24"/>
          <w:lang w:val="es-MX"/>
        </w:rPr>
        <w:t xml:space="preserve"> Group</w:t>
      </w:r>
      <w:r>
        <w:rPr>
          <w:sz w:val="24"/>
          <w:szCs w:val="24"/>
          <w:lang w:val="es-MX"/>
        </w:rPr>
        <w:t xml:space="preserve"> realiza este levantamiento de información. “El año pasado hubo</w:t>
      </w:r>
      <w:r w:rsidRPr="00353F30">
        <w:rPr>
          <w:sz w:val="24"/>
          <w:szCs w:val="24"/>
          <w:lang w:val="es-MX"/>
        </w:rPr>
        <w:t xml:space="preserve"> una mayor sensación de </w:t>
      </w:r>
      <w:r w:rsidR="00842387">
        <w:rPr>
          <w:sz w:val="24"/>
          <w:szCs w:val="24"/>
          <w:lang w:val="es-MX"/>
        </w:rPr>
        <w:t>‘</w:t>
      </w:r>
      <w:r w:rsidRPr="00353F30">
        <w:rPr>
          <w:sz w:val="24"/>
          <w:szCs w:val="24"/>
          <w:lang w:val="es-MX"/>
        </w:rPr>
        <w:t>normalidad</w:t>
      </w:r>
      <w:r w:rsidR="00842387">
        <w:rPr>
          <w:sz w:val="24"/>
          <w:szCs w:val="24"/>
          <w:lang w:val="es-MX"/>
        </w:rPr>
        <w:t>’</w:t>
      </w:r>
      <w:r w:rsidRPr="00353F30">
        <w:rPr>
          <w:sz w:val="24"/>
          <w:szCs w:val="24"/>
          <w:lang w:val="es-MX"/>
        </w:rPr>
        <w:t xml:space="preserve"> en el mercado </w:t>
      </w:r>
      <w:r>
        <w:rPr>
          <w:sz w:val="24"/>
          <w:szCs w:val="24"/>
          <w:lang w:val="es-MX"/>
        </w:rPr>
        <w:t xml:space="preserve">respecto de la pandemia </w:t>
      </w:r>
      <w:r w:rsidRPr="00353F30">
        <w:rPr>
          <w:sz w:val="24"/>
          <w:szCs w:val="24"/>
          <w:lang w:val="es-MX"/>
        </w:rPr>
        <w:t>en comparación al 2020</w:t>
      </w:r>
      <w:r>
        <w:rPr>
          <w:sz w:val="24"/>
          <w:szCs w:val="24"/>
          <w:lang w:val="es-MX"/>
        </w:rPr>
        <w:t xml:space="preserve">, lo que sin duda incide en esta cifra. </w:t>
      </w:r>
      <w:r w:rsidR="00842387">
        <w:rPr>
          <w:sz w:val="24"/>
          <w:szCs w:val="24"/>
          <w:lang w:val="es-MX"/>
        </w:rPr>
        <w:t>Además, e</w:t>
      </w:r>
      <w:r w:rsidRPr="00353F30">
        <w:rPr>
          <w:sz w:val="24"/>
          <w:szCs w:val="24"/>
          <w:lang w:val="es-MX"/>
        </w:rPr>
        <w:t>l alto precio del cobre</w:t>
      </w:r>
      <w:r>
        <w:rPr>
          <w:sz w:val="24"/>
          <w:szCs w:val="24"/>
          <w:lang w:val="es-MX"/>
        </w:rPr>
        <w:t xml:space="preserve"> </w:t>
      </w:r>
      <w:r w:rsidRPr="00353F30">
        <w:rPr>
          <w:sz w:val="24"/>
          <w:szCs w:val="24"/>
          <w:lang w:val="es-MX"/>
        </w:rPr>
        <w:t xml:space="preserve">también </w:t>
      </w:r>
      <w:r w:rsidR="005A3483">
        <w:rPr>
          <w:sz w:val="24"/>
          <w:szCs w:val="24"/>
          <w:lang w:val="es-MX"/>
        </w:rPr>
        <w:t>influye</w:t>
      </w:r>
      <w:r w:rsidRPr="00353F30">
        <w:rPr>
          <w:sz w:val="24"/>
          <w:szCs w:val="24"/>
          <w:lang w:val="es-MX"/>
        </w:rPr>
        <w:t xml:space="preserve"> en términos de las presiones para negociar condiciones más favorables para los trabajadores. Si uno hace una revisión hacia atrás, se observa una correlación entre los bonos y el ciclo del precio del </w:t>
      </w:r>
      <w:r w:rsidR="00842387">
        <w:rPr>
          <w:sz w:val="24"/>
          <w:szCs w:val="24"/>
          <w:lang w:val="es-MX"/>
        </w:rPr>
        <w:t>metal rojo”, agrega Daniela Desormeaux</w:t>
      </w:r>
      <w:r w:rsidRPr="00353F30">
        <w:rPr>
          <w:sz w:val="24"/>
          <w:szCs w:val="24"/>
          <w:lang w:val="es-MX"/>
        </w:rPr>
        <w:t>.</w:t>
      </w:r>
    </w:p>
    <w:p w14:paraId="12195F08" w14:textId="6EB158A5" w:rsidR="00842387" w:rsidRDefault="00842387" w:rsidP="002F5FEB">
      <w:pPr>
        <w:jc w:val="both"/>
        <w:rPr>
          <w:b/>
          <w:bCs/>
          <w:sz w:val="24"/>
          <w:szCs w:val="24"/>
          <w:lang w:val="es-MX"/>
        </w:rPr>
      </w:pPr>
      <w:r w:rsidRPr="00842387">
        <w:rPr>
          <w:b/>
          <w:bCs/>
          <w:sz w:val="24"/>
          <w:szCs w:val="24"/>
          <w:lang w:val="es-MX"/>
        </w:rPr>
        <w:t>Proyección 2022</w:t>
      </w:r>
    </w:p>
    <w:p w14:paraId="77B9DDC6" w14:textId="4519F27B" w:rsidR="00842387" w:rsidRPr="00842387" w:rsidRDefault="00FD0453" w:rsidP="00842387">
      <w:pPr>
        <w:jc w:val="both"/>
        <w:rPr>
          <w:sz w:val="24"/>
          <w:szCs w:val="24"/>
        </w:rPr>
      </w:pPr>
      <w:r w:rsidRPr="00842387">
        <w:rPr>
          <w:sz w:val="24"/>
          <w:szCs w:val="24"/>
        </w:rPr>
        <w:t>De acuerdo con el</w:t>
      </w:r>
      <w:r w:rsidR="00842387" w:rsidRPr="00842387">
        <w:rPr>
          <w:sz w:val="24"/>
          <w:szCs w:val="24"/>
        </w:rPr>
        <w:t xml:space="preserve"> calendario del Consejo Minero, en 2022 </w:t>
      </w:r>
      <w:r w:rsidR="00842387">
        <w:rPr>
          <w:sz w:val="24"/>
          <w:szCs w:val="24"/>
        </w:rPr>
        <w:t>se registrarían</w:t>
      </w:r>
      <w:r w:rsidR="00842387" w:rsidRPr="00842387">
        <w:rPr>
          <w:sz w:val="24"/>
          <w:szCs w:val="24"/>
        </w:rPr>
        <w:t xml:space="preserve"> 29 negociaciones colectivas entre las distintas empresas mineras</w:t>
      </w:r>
      <w:r w:rsidR="00842387">
        <w:rPr>
          <w:sz w:val="24"/>
          <w:szCs w:val="24"/>
        </w:rPr>
        <w:t>, destacando los procesos de</w:t>
      </w:r>
      <w:r w:rsidR="00842387" w:rsidRPr="00842387">
        <w:rPr>
          <w:sz w:val="24"/>
          <w:szCs w:val="24"/>
        </w:rPr>
        <w:t xml:space="preserve"> </w:t>
      </w:r>
      <w:r w:rsidR="00842387">
        <w:rPr>
          <w:sz w:val="24"/>
          <w:szCs w:val="24"/>
        </w:rPr>
        <w:t>cinco</w:t>
      </w:r>
      <w:r w:rsidR="00842387" w:rsidRPr="00842387">
        <w:rPr>
          <w:sz w:val="24"/>
          <w:szCs w:val="24"/>
        </w:rPr>
        <w:t xml:space="preserve"> sindicatos distintos en TECK,</w:t>
      </w:r>
      <w:r>
        <w:rPr>
          <w:sz w:val="24"/>
          <w:szCs w:val="24"/>
        </w:rPr>
        <w:t xml:space="preserve"> </w:t>
      </w:r>
      <w:r w:rsidR="00842387" w:rsidRPr="00842387">
        <w:rPr>
          <w:sz w:val="24"/>
          <w:szCs w:val="24"/>
        </w:rPr>
        <w:t xml:space="preserve">AMSA, y </w:t>
      </w:r>
      <w:r w:rsidR="00842387">
        <w:rPr>
          <w:sz w:val="24"/>
          <w:szCs w:val="24"/>
        </w:rPr>
        <w:t>cuatro</w:t>
      </w:r>
      <w:r w:rsidR="00842387" w:rsidRPr="00842387">
        <w:rPr>
          <w:sz w:val="24"/>
          <w:szCs w:val="24"/>
        </w:rPr>
        <w:t xml:space="preserve"> en SCM.</w:t>
      </w:r>
    </w:p>
    <w:p w14:paraId="407F938A" w14:textId="3E2629F5" w:rsidR="00842387" w:rsidRPr="00842387" w:rsidRDefault="00FD0453" w:rsidP="002F5FEB">
      <w:pPr>
        <w:jc w:val="both"/>
        <w:rPr>
          <w:sz w:val="24"/>
          <w:szCs w:val="24"/>
        </w:rPr>
      </w:pPr>
      <w:r>
        <w:rPr>
          <w:sz w:val="24"/>
          <w:szCs w:val="24"/>
        </w:rPr>
        <w:t>Para Juan Cariamo, socio y Co CEO de Vantaz Group “</w:t>
      </w:r>
      <w:r w:rsidR="00842387" w:rsidRPr="00842387">
        <w:rPr>
          <w:sz w:val="24"/>
          <w:szCs w:val="24"/>
        </w:rPr>
        <w:t xml:space="preserve">el escenario será complejo, debido a la incertidumbre con respecto a eventuales cambios en el entorno regulatorio, entre otros riesgos. También existe incertidumbre con respecto a la evolución de la pandemia, en términos </w:t>
      </w:r>
      <w:r w:rsidR="00A25494">
        <w:rPr>
          <w:sz w:val="24"/>
          <w:szCs w:val="24"/>
        </w:rPr>
        <w:t xml:space="preserve">de </w:t>
      </w:r>
      <w:r w:rsidR="00842387" w:rsidRPr="00842387">
        <w:rPr>
          <w:sz w:val="24"/>
          <w:szCs w:val="24"/>
        </w:rPr>
        <w:t>si se seguirán observando nuevas variantes cada vez más contagiosas, y cómo esto afecte a la operación y también, por cierto, el ciclo de precios del cobre, que creemos será favorable</w:t>
      </w:r>
      <w:r w:rsidR="00A25494">
        <w:rPr>
          <w:sz w:val="24"/>
          <w:szCs w:val="24"/>
        </w:rPr>
        <w:t>,</w:t>
      </w:r>
      <w:r w:rsidR="00842387" w:rsidRPr="00842387">
        <w:rPr>
          <w:sz w:val="24"/>
          <w:szCs w:val="24"/>
        </w:rPr>
        <w:t xml:space="preserve"> al igual como en 2021</w:t>
      </w:r>
      <w:r>
        <w:rPr>
          <w:sz w:val="24"/>
          <w:szCs w:val="24"/>
        </w:rPr>
        <w:t>”</w:t>
      </w:r>
      <w:r w:rsidR="00842387" w:rsidRPr="00842387">
        <w:rPr>
          <w:sz w:val="24"/>
          <w:szCs w:val="24"/>
        </w:rPr>
        <w:t>.</w:t>
      </w:r>
    </w:p>
    <w:sectPr w:rsidR="00842387" w:rsidRPr="0084238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0B80F" w14:textId="77777777" w:rsidR="00896985" w:rsidRDefault="00896985" w:rsidP="0014008A">
      <w:pPr>
        <w:spacing w:after="0" w:line="240" w:lineRule="auto"/>
      </w:pPr>
      <w:r>
        <w:separator/>
      </w:r>
    </w:p>
  </w:endnote>
  <w:endnote w:type="continuationSeparator" w:id="0">
    <w:p w14:paraId="581A5692" w14:textId="77777777" w:rsidR="00896985" w:rsidRDefault="00896985" w:rsidP="00140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CF9DC" w14:textId="77777777" w:rsidR="00896985" w:rsidRDefault="00896985" w:rsidP="0014008A">
      <w:pPr>
        <w:spacing w:after="0" w:line="240" w:lineRule="auto"/>
      </w:pPr>
      <w:r>
        <w:separator/>
      </w:r>
    </w:p>
  </w:footnote>
  <w:footnote w:type="continuationSeparator" w:id="0">
    <w:p w14:paraId="69FD80E6" w14:textId="77777777" w:rsidR="00896985" w:rsidRDefault="00896985" w:rsidP="00140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39E6" w14:textId="5DAF3E44" w:rsidR="0014008A" w:rsidRDefault="0014008A" w:rsidP="0014008A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CDE3EB" wp14:editId="16C5AC69">
          <wp:simplePos x="0" y="0"/>
          <wp:positionH relativeFrom="column">
            <wp:posOffset>3129915</wp:posOffset>
          </wp:positionH>
          <wp:positionV relativeFrom="paragraph">
            <wp:posOffset>-236220</wp:posOffset>
          </wp:positionV>
          <wp:extent cx="2857500" cy="975132"/>
          <wp:effectExtent l="0" t="0" r="0" b="0"/>
          <wp:wrapTight wrapText="bothSides">
            <wp:wrapPolygon edited="0">
              <wp:start x="0" y="0"/>
              <wp:lineTo x="0" y="21107"/>
              <wp:lineTo x="21456" y="21107"/>
              <wp:lineTo x="21456" y="0"/>
              <wp:lineTo x="0" y="0"/>
            </wp:wrapPolygon>
          </wp:wrapTight>
          <wp:docPr id="1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0" cy="9751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82350C" w14:textId="77777777" w:rsidR="0014008A" w:rsidRDefault="0014008A" w:rsidP="0014008A">
    <w:pPr>
      <w:pStyle w:val="Encabezado"/>
      <w:jc w:val="right"/>
    </w:pPr>
  </w:p>
  <w:p w14:paraId="6F378875" w14:textId="538B5C74" w:rsidR="0014008A" w:rsidRDefault="0014008A" w:rsidP="0014008A">
    <w:pPr>
      <w:pStyle w:val="Encabezado"/>
      <w:jc w:val="right"/>
    </w:pPr>
  </w:p>
  <w:p w14:paraId="42B6F806" w14:textId="77777777" w:rsidR="0014008A" w:rsidRDefault="0014008A" w:rsidP="0014008A">
    <w:pPr>
      <w:pStyle w:val="Encabezado"/>
      <w:jc w:val="right"/>
    </w:pPr>
  </w:p>
  <w:p w14:paraId="75DD458D" w14:textId="77777777" w:rsidR="0014008A" w:rsidRDefault="0014008A" w:rsidP="0014008A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8A"/>
    <w:rsid w:val="0014008A"/>
    <w:rsid w:val="002F5FEB"/>
    <w:rsid w:val="0030772D"/>
    <w:rsid w:val="00353F30"/>
    <w:rsid w:val="00431D13"/>
    <w:rsid w:val="005A3483"/>
    <w:rsid w:val="00834CD8"/>
    <w:rsid w:val="00842387"/>
    <w:rsid w:val="00896985"/>
    <w:rsid w:val="008E1C8F"/>
    <w:rsid w:val="009F5B0E"/>
    <w:rsid w:val="00A25494"/>
    <w:rsid w:val="00BB4DFD"/>
    <w:rsid w:val="00C20F81"/>
    <w:rsid w:val="00FD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55716"/>
  <w15:chartTrackingRefBased/>
  <w15:docId w15:val="{CA001767-2C68-477F-84A4-D84F6DA4F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00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08A"/>
  </w:style>
  <w:style w:type="paragraph" w:styleId="Piedepgina">
    <w:name w:val="footer"/>
    <w:basedOn w:val="Normal"/>
    <w:link w:val="PiedepginaCar"/>
    <w:uiPriority w:val="99"/>
    <w:unhideWhenUsed/>
    <w:rsid w:val="001400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482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Pizarro Valenzuela</dc:creator>
  <cp:keywords/>
  <dc:description/>
  <cp:lastModifiedBy>Julio Pizarro Valenzuela</cp:lastModifiedBy>
  <cp:revision>4</cp:revision>
  <cp:lastPrinted>2022-01-17T17:46:00Z</cp:lastPrinted>
  <dcterms:created xsi:type="dcterms:W3CDTF">2022-01-17T15:37:00Z</dcterms:created>
  <dcterms:modified xsi:type="dcterms:W3CDTF">2022-01-17T18:41:00Z</dcterms:modified>
</cp:coreProperties>
</file>